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48" w:rsidRDefault="004E2E48" w:rsidP="004E2E48">
      <w:pPr>
        <w:tabs>
          <w:tab w:val="left" w:pos="15704"/>
        </w:tabs>
        <w:ind w:right="2379"/>
        <w:rPr>
          <w:lang w:val="ru-RU"/>
        </w:rPr>
      </w:pPr>
    </w:p>
    <w:p w:rsidR="004E2E48" w:rsidRDefault="004E2E48">
      <w:pPr>
        <w:rPr>
          <w:lang w:val="ru-RU"/>
        </w:rPr>
      </w:pPr>
    </w:p>
    <w:tbl>
      <w:tblPr>
        <w:tblW w:w="16095" w:type="dxa"/>
        <w:tblBorders>
          <w:top w:val="single" w:sz="6" w:space="0" w:color="2C5085"/>
          <w:left w:val="single" w:sz="6" w:space="0" w:color="2C5085"/>
          <w:bottom w:val="single" w:sz="6" w:space="0" w:color="2C5085"/>
          <w:right w:val="single" w:sz="6" w:space="0" w:color="2C508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1"/>
        <w:gridCol w:w="4620"/>
        <w:gridCol w:w="8034"/>
      </w:tblGrid>
      <w:tr w:rsidR="004E2E48" w:rsidRPr="004E2E48" w:rsidTr="004E2E48">
        <w:tc>
          <w:tcPr>
            <w:tcW w:w="0" w:type="auto"/>
            <w:gridSpan w:val="3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2C5085"/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center"/>
              <w:rPr>
                <w:rFonts w:ascii="Verdana" w:eastAsia="Times New Roman" w:hAnsi="Verdana"/>
                <w:b/>
                <w:bCs/>
                <w:color w:val="D9D9D9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b/>
                <w:bCs/>
                <w:color w:val="D9D9D9"/>
                <w:kern w:val="0"/>
                <w:sz w:val="17"/>
                <w:szCs w:val="17"/>
                <w:lang w:val="ru-RU" w:eastAsia="ru-RU"/>
              </w:rPr>
              <w:t>Характеристики осциллографа</w:t>
            </w:r>
          </w:p>
        </w:tc>
      </w:tr>
      <w:tr w:rsidR="004E2E48" w:rsidRPr="004E2E48" w:rsidTr="004E2E48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Вертикальная система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Количество каналов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1</w:t>
            </w:r>
          </w:p>
        </w:tc>
      </w:tr>
      <w:tr w:rsidR="004E2E48" w:rsidRPr="004E2E48" w:rsidTr="004E2E4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Полоса частот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DC ~ 25 МГц (X10 пробник);</w:t>
            </w: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lang w:val="ru-RU" w:eastAsia="ru-RU"/>
              </w:rPr>
              <w:t> </w:t>
            </w: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br/>
              <w:t>DC ~ 6 МГц (X1 пробник)</w:t>
            </w:r>
          </w:p>
        </w:tc>
      </w:tr>
      <w:tr w:rsidR="004E2E48" w:rsidRPr="004E2E48" w:rsidTr="004E2E4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Макс. частота дискретизации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100 </w:t>
            </w:r>
            <w:proofErr w:type="spell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Мвыб</w:t>
            </w:r>
            <w:proofErr w:type="spell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/сек</w:t>
            </w:r>
          </w:p>
        </w:tc>
      </w:tr>
      <w:tr w:rsidR="004E2E48" w:rsidRPr="004E2E48" w:rsidTr="004E2E4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Связь по входу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закрытый, открытый</w:t>
            </w:r>
          </w:p>
        </w:tc>
      </w:tr>
      <w:tr w:rsidR="004E2E48" w:rsidRPr="004E2E48" w:rsidTr="004E2E4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Коэффициент отклонения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20 мВ/дел … 50</w:t>
            </w:r>
            <w:proofErr w:type="gram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В</w:t>
            </w:r>
            <w:proofErr w:type="gram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/дел с шагом 1-2-5</w:t>
            </w:r>
          </w:p>
        </w:tc>
      </w:tr>
      <w:tr w:rsidR="004E2E48" w:rsidRPr="004E2E48" w:rsidTr="004E2E4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Погрешность установки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±(5%+0,1дел)</w:t>
            </w:r>
          </w:p>
        </w:tc>
      </w:tr>
      <w:tr w:rsidR="004E2E48" w:rsidRPr="004E2E48" w:rsidTr="004E2E4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Входное сопротивление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1 МОм ± 2% || 20 пФ ± 3 пФ</w:t>
            </w:r>
          </w:p>
        </w:tc>
      </w:tr>
      <w:tr w:rsidR="004E2E48" w:rsidRPr="004E2E48" w:rsidTr="004E2E4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АЦП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8 бит</w:t>
            </w:r>
          </w:p>
        </w:tc>
      </w:tr>
      <w:tr w:rsidR="004E2E48" w:rsidRPr="004E2E48" w:rsidTr="004E2E4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Время нарастания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≤14 нс</w:t>
            </w:r>
          </w:p>
        </w:tc>
      </w:tr>
      <w:tr w:rsidR="004E2E48" w:rsidRPr="004E2E48" w:rsidTr="004E2E4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Глубина записи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4</w:t>
            </w:r>
            <w:proofErr w:type="gram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К</w:t>
            </w:r>
            <w:proofErr w:type="gramEnd"/>
          </w:p>
        </w:tc>
      </w:tr>
      <w:tr w:rsidR="004E2E48" w:rsidRPr="004E2E48" w:rsidTr="004E2E4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Максимальное напряжение на входе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300</w:t>
            </w:r>
            <w:proofErr w:type="gram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В</w:t>
            </w:r>
            <w:proofErr w:type="gram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пик-пик (на делителе X10)</w:t>
            </w:r>
          </w:p>
        </w:tc>
      </w:tr>
      <w:tr w:rsidR="004E2E48" w:rsidRPr="004E2E48" w:rsidTr="004E2E48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Горизонтальная система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Коэффициент развертки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10 нс/дел … 2,5 с/дел с шагом 1-2,5-5</w:t>
            </w:r>
          </w:p>
        </w:tc>
      </w:tr>
      <w:tr w:rsidR="004E2E48" w:rsidRPr="004E2E48" w:rsidTr="004E2E4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Погрешность временной базы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±(0,01%+0,1 дел)</w:t>
            </w:r>
          </w:p>
        </w:tc>
      </w:tr>
      <w:tr w:rsidR="004E2E48" w:rsidRPr="004E2E48" w:rsidTr="004E2E48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Синхронизация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Режим запуска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однократный, нормальный</w:t>
            </w:r>
          </w:p>
        </w:tc>
      </w:tr>
      <w:tr w:rsidR="004E2E48" w:rsidRPr="004E2E48" w:rsidTr="004E2E4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Тип запуска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по фронту (</w:t>
            </w:r>
            <w:proofErr w:type="gram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нарастающий</w:t>
            </w:r>
            <w:proofErr w:type="gram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/спадающий), по видео (поле, строка)</w:t>
            </w:r>
          </w:p>
        </w:tc>
      </w:tr>
      <w:tr w:rsidR="004E2E48" w:rsidRPr="004E2E48" w:rsidTr="004E2E48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Автоматические измерения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Амплитудные измерения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proofErr w:type="spellStart"/>
            <w:proofErr w:type="gram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V</w:t>
            </w:r>
            <w:proofErr w:type="gram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пик-пик,+Vпик,-Vпик</w:t>
            </w:r>
            <w:proofErr w:type="spellEnd"/>
          </w:p>
        </w:tc>
      </w:tr>
      <w:tr w:rsidR="004E2E48" w:rsidRPr="004E2E48" w:rsidTr="004E2E4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Частотно-временная область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Частота (</w:t>
            </w:r>
            <w:proofErr w:type="spell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f</w:t>
            </w:r>
            <w:proofErr w:type="spell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), период (T)</w:t>
            </w:r>
          </w:p>
        </w:tc>
      </w:tr>
      <w:tr w:rsidR="004E2E48" w:rsidRPr="004E2E48" w:rsidTr="004E2E4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Точность </w:t>
            </w:r>
            <w:proofErr w:type="spell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автоизмерений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± (5%+0,1 дел)</w:t>
            </w:r>
          </w:p>
        </w:tc>
      </w:tr>
    </w:tbl>
    <w:p w:rsidR="004E2E48" w:rsidRPr="004E2E48" w:rsidRDefault="004E2E48" w:rsidP="004E2E48">
      <w:pPr>
        <w:widowControl/>
        <w:ind w:left="0" w:firstLine="0"/>
        <w:jc w:val="left"/>
        <w:rPr>
          <w:rFonts w:eastAsia="Times New Roman"/>
          <w:vanish/>
          <w:kern w:val="0"/>
          <w:sz w:val="24"/>
          <w:lang w:val="ru-RU" w:eastAsia="ru-RU"/>
        </w:rPr>
      </w:pPr>
    </w:p>
    <w:tbl>
      <w:tblPr>
        <w:tblW w:w="16095" w:type="dxa"/>
        <w:tblBorders>
          <w:top w:val="single" w:sz="6" w:space="0" w:color="2C5085"/>
          <w:left w:val="single" w:sz="6" w:space="0" w:color="2C5085"/>
          <w:bottom w:val="single" w:sz="6" w:space="0" w:color="2C5085"/>
          <w:right w:val="single" w:sz="6" w:space="0" w:color="2C508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0"/>
        <w:gridCol w:w="12065"/>
      </w:tblGrid>
      <w:tr w:rsidR="004E2E48" w:rsidRPr="004E2E48" w:rsidTr="004E2E48"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2C5085"/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center"/>
              <w:rPr>
                <w:rFonts w:ascii="Verdana" w:eastAsia="Times New Roman" w:hAnsi="Verdana"/>
                <w:b/>
                <w:bCs/>
                <w:color w:val="D9D9D9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b/>
                <w:bCs/>
                <w:color w:val="D9D9D9"/>
                <w:kern w:val="0"/>
                <w:sz w:val="17"/>
                <w:szCs w:val="17"/>
                <w:lang w:val="ru-RU" w:eastAsia="ru-RU"/>
              </w:rPr>
              <w:t>Характеристики генератора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Диапазон частот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10 Гц…156 кГц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Разрешение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1 Гц (от 10 Гц до 100 Гц)</w:t>
            </w: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lang w:val="ru-RU" w:eastAsia="ru-RU"/>
              </w:rPr>
              <w:t> </w:t>
            </w: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br/>
              <w:t>10 Гц (от 100 Гц до 1000 Гц)</w:t>
            </w: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lang w:val="ru-RU" w:eastAsia="ru-RU"/>
              </w:rPr>
              <w:t> </w:t>
            </w: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br/>
              <w:t>100 Гц (&gt;1000 Гц)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Формы сигнала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синусоидальный, прямоугольный, треугольный, пилообразный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Выходная амплитуда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4,6 </w:t>
            </w:r>
            <w:proofErr w:type="spell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Впик-пик</w:t>
            </w:r>
            <w:proofErr w:type="spellEnd"/>
          </w:p>
        </w:tc>
      </w:tr>
    </w:tbl>
    <w:p w:rsidR="004E2E48" w:rsidRPr="004E2E48" w:rsidRDefault="004E2E48" w:rsidP="004E2E48">
      <w:pPr>
        <w:widowControl/>
        <w:ind w:left="0" w:firstLine="0"/>
        <w:jc w:val="left"/>
        <w:rPr>
          <w:rFonts w:eastAsia="Times New Roman"/>
          <w:vanish/>
          <w:kern w:val="0"/>
          <w:sz w:val="24"/>
          <w:lang w:val="ru-RU" w:eastAsia="ru-RU"/>
        </w:rPr>
      </w:pPr>
    </w:p>
    <w:tbl>
      <w:tblPr>
        <w:tblW w:w="16095" w:type="dxa"/>
        <w:tblBorders>
          <w:top w:val="single" w:sz="6" w:space="0" w:color="2C5085"/>
          <w:left w:val="single" w:sz="6" w:space="0" w:color="2C5085"/>
          <w:bottom w:val="single" w:sz="6" w:space="0" w:color="2C5085"/>
          <w:right w:val="single" w:sz="6" w:space="0" w:color="2C508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4"/>
        <w:gridCol w:w="9361"/>
      </w:tblGrid>
      <w:tr w:rsidR="004E2E48" w:rsidRPr="004E2E48" w:rsidTr="004E2E48"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2C5085"/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center"/>
              <w:rPr>
                <w:rFonts w:ascii="Verdana" w:eastAsia="Times New Roman" w:hAnsi="Verdana"/>
                <w:b/>
                <w:bCs/>
                <w:color w:val="D9D9D9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b/>
                <w:bCs/>
                <w:color w:val="D9D9D9"/>
                <w:kern w:val="0"/>
                <w:sz w:val="17"/>
                <w:szCs w:val="17"/>
                <w:lang w:val="ru-RU" w:eastAsia="ru-RU"/>
              </w:rPr>
              <w:t xml:space="preserve">Характеристики в режиме </w:t>
            </w:r>
            <w:proofErr w:type="spellStart"/>
            <w:r w:rsidRPr="004E2E48">
              <w:rPr>
                <w:rFonts w:ascii="Verdana" w:eastAsia="Times New Roman" w:hAnsi="Verdana"/>
                <w:b/>
                <w:bCs/>
                <w:color w:val="D9D9D9"/>
                <w:kern w:val="0"/>
                <w:sz w:val="17"/>
                <w:szCs w:val="17"/>
                <w:lang w:val="ru-RU" w:eastAsia="ru-RU"/>
              </w:rPr>
              <w:t>мультиметра</w:t>
            </w:r>
            <w:proofErr w:type="spellEnd"/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Разрядность дисплея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6600 отсчетов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Выбор диапазона измерения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ручной, автоматический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Постоянное напряжение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600 мВ (только ручной) / 6</w:t>
            </w:r>
            <w:proofErr w:type="gram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В</w:t>
            </w:r>
            <w:proofErr w:type="gram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/ 60 В/ 600 В/ 2000 В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Переменное напряжение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600 мВ (только ручной) / 6</w:t>
            </w:r>
            <w:proofErr w:type="gram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В</w:t>
            </w:r>
            <w:proofErr w:type="gram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/ 60 В/ 600 В/ 1000 В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Диапазон частот (</w:t>
            </w:r>
            <w:proofErr w:type="spell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перем</w:t>
            </w:r>
            <w:proofErr w:type="gram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.н</w:t>
            </w:r>
            <w:proofErr w:type="gram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апряжение</w:t>
            </w:r>
            <w:proofErr w:type="spell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40 Гц…50 КГц (от 6</w:t>
            </w:r>
            <w:proofErr w:type="gram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В</w:t>
            </w:r>
            <w:proofErr w:type="gram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до 100 В)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Разрешение (напряжение)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100 мкВ / 1 мВ / 10 мВ/ 100 мВ/ 1</w:t>
            </w:r>
            <w:proofErr w:type="gram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В</w:t>
            </w:r>
            <w:proofErr w:type="gramEnd"/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Базовая точность (напряжение)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± 0,8% (кроме 1000</w:t>
            </w:r>
            <w:proofErr w:type="gram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В</w:t>
            </w:r>
            <w:proofErr w:type="gram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и 2000 В)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Постоянный ток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30 мА / 600 мА - прямое измерение, 10</w:t>
            </w:r>
            <w:proofErr w:type="gram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А</w:t>
            </w:r>
            <w:proofErr w:type="gram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- с шунтом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Переменный ток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30 мА / 600 мА - прямое измерение, 10</w:t>
            </w:r>
            <w:proofErr w:type="gram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А</w:t>
            </w:r>
            <w:proofErr w:type="gram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- с шунтом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lastRenderedPageBreak/>
              <w:t>Диапазон частот (</w:t>
            </w:r>
            <w:proofErr w:type="spell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перем</w:t>
            </w:r>
            <w:proofErr w:type="gram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.т</w:t>
            </w:r>
            <w:proofErr w:type="gram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ок</w:t>
            </w:r>
            <w:proofErr w:type="spell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40 Гц…5 КГц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Разрешение (ток)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10 мкА/ 100 мкА / 10 мА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Базовая точность (ток)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±1% (</w:t>
            </w:r>
            <w:proofErr w:type="spell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пост</w:t>
            </w:r>
            <w:proofErr w:type="gram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.т</w:t>
            </w:r>
            <w:proofErr w:type="gram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ок</w:t>
            </w:r>
            <w:proofErr w:type="spell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);</w:t>
            </w: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lang w:val="ru-RU" w:eastAsia="ru-RU"/>
              </w:rPr>
              <w:t> </w:t>
            </w: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br/>
              <w:t>±1,5% (</w:t>
            </w:r>
            <w:proofErr w:type="spell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перем.ток</w:t>
            </w:r>
            <w:proofErr w:type="spell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)</w:t>
            </w:r>
          </w:p>
        </w:tc>
      </w:tr>
    </w:tbl>
    <w:p w:rsidR="004E2E48" w:rsidRPr="004E2E48" w:rsidRDefault="004E2E48" w:rsidP="004E2E48">
      <w:pPr>
        <w:widowControl/>
        <w:ind w:left="0" w:firstLine="0"/>
        <w:jc w:val="left"/>
        <w:rPr>
          <w:rFonts w:eastAsia="Times New Roman"/>
          <w:vanish/>
          <w:kern w:val="0"/>
          <w:sz w:val="24"/>
          <w:lang w:val="ru-RU" w:eastAsia="ru-RU"/>
        </w:rPr>
      </w:pPr>
    </w:p>
    <w:tbl>
      <w:tblPr>
        <w:tblW w:w="16095" w:type="dxa"/>
        <w:tblBorders>
          <w:top w:val="single" w:sz="6" w:space="0" w:color="2C5085"/>
          <w:left w:val="single" w:sz="6" w:space="0" w:color="2C5085"/>
          <w:bottom w:val="single" w:sz="6" w:space="0" w:color="2C5085"/>
          <w:right w:val="single" w:sz="6" w:space="0" w:color="2C508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7"/>
        <w:gridCol w:w="10548"/>
      </w:tblGrid>
      <w:tr w:rsidR="004E2E48" w:rsidRPr="004E2E48" w:rsidTr="004E2E48"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2C5085"/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center"/>
              <w:rPr>
                <w:rFonts w:ascii="Verdana" w:eastAsia="Times New Roman" w:hAnsi="Verdana"/>
                <w:b/>
                <w:bCs/>
                <w:color w:val="D9D9D9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b/>
                <w:bCs/>
                <w:color w:val="D9D9D9"/>
                <w:kern w:val="0"/>
                <w:sz w:val="17"/>
                <w:szCs w:val="17"/>
                <w:lang w:val="ru-RU" w:eastAsia="ru-RU"/>
              </w:rPr>
              <w:t>Характеристики в режиме LCR-метра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Тестовая частота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до 156 кГц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Сопротивление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600 Ом / 6 кОм/ 60 кОм/ 600 кОм/ 6 МОм/ 60 МОм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Разрешение (сопротивление)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100 мОм / 1 Ом / 10 Ом/ 100 Ом/ 1 кОм/ 100 кОм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Базовая точность (сопротивление)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± 1%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Емкость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6,6 нФ / 66 нФ/ 660 нФ/ 6,6 мкФ/ 66 мкФ/ 660 мкФ/6,6 мФ/ 66 мФ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Разрешение (емкость)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1 пФ / 10 пФ / 100 пФ/ 1 нФ/ 10 нФ/ 100 нФ/ 1 мкФ/ 10 мкФ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Базовая точность (емкость)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± 3% (кроме 6,6 мФ/ 66 мФ)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Время тестирования (емкость)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&lt; 1,2 сек (@6000 мкФ)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Индуктивность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10 мкГн / 100 мкГн/ 1 мГн /10 мГн/ 100 мГн/ 2 Гн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Разрешение (индуктивность)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0,1 мкГн/ 1 мкГн/ 100 мкГн / 1 мГн/ 10 мГн/ 100 мГн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Базовая точность (индуктивность)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± 5%</w:t>
            </w:r>
          </w:p>
        </w:tc>
      </w:tr>
    </w:tbl>
    <w:p w:rsidR="004E2E48" w:rsidRPr="004E2E48" w:rsidRDefault="004E2E48" w:rsidP="004E2E48">
      <w:pPr>
        <w:widowControl/>
        <w:ind w:left="0" w:firstLine="0"/>
        <w:jc w:val="left"/>
        <w:rPr>
          <w:rFonts w:eastAsia="Times New Roman"/>
          <w:vanish/>
          <w:kern w:val="0"/>
          <w:sz w:val="24"/>
          <w:lang w:val="ru-RU" w:eastAsia="ru-RU"/>
        </w:rPr>
      </w:pPr>
    </w:p>
    <w:tbl>
      <w:tblPr>
        <w:tblW w:w="16095" w:type="dxa"/>
        <w:tblBorders>
          <w:top w:val="single" w:sz="6" w:space="0" w:color="2C5085"/>
          <w:left w:val="single" w:sz="6" w:space="0" w:color="2C5085"/>
          <w:bottom w:val="single" w:sz="6" w:space="0" w:color="2C5085"/>
          <w:right w:val="single" w:sz="6" w:space="0" w:color="2C508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9"/>
        <w:gridCol w:w="5646"/>
      </w:tblGrid>
      <w:tr w:rsidR="004E2E48" w:rsidRPr="004E2E48" w:rsidTr="004E2E48"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2C5085"/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center"/>
              <w:rPr>
                <w:rFonts w:ascii="Verdana" w:eastAsia="Times New Roman" w:hAnsi="Verdana"/>
                <w:b/>
                <w:bCs/>
                <w:color w:val="D9D9D9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b/>
                <w:bCs/>
                <w:color w:val="D9D9D9"/>
                <w:kern w:val="0"/>
                <w:sz w:val="17"/>
                <w:szCs w:val="17"/>
                <w:lang w:val="ru-RU" w:eastAsia="ru-RU"/>
              </w:rPr>
              <w:t>Характеристики в режиме измерения частоты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Диапазон измерения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10 Гц…60 МГц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Наилучшее разрешение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0,1 </w:t>
            </w:r>
            <w:proofErr w:type="spell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мкГц</w:t>
            </w:r>
            <w:proofErr w:type="spellEnd"/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Базовая точность</w:t>
            </w: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± 2%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Чувствительность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500 мВ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Коэффициент заполнения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10%...94,9%</w:t>
            </w:r>
          </w:p>
        </w:tc>
      </w:tr>
    </w:tbl>
    <w:p w:rsidR="004E2E48" w:rsidRPr="004E2E48" w:rsidRDefault="004E2E48" w:rsidP="004E2E48">
      <w:pPr>
        <w:widowControl/>
        <w:ind w:left="0" w:firstLine="0"/>
        <w:jc w:val="left"/>
        <w:rPr>
          <w:rFonts w:eastAsia="Times New Roman"/>
          <w:vanish/>
          <w:kern w:val="0"/>
          <w:sz w:val="24"/>
          <w:lang w:val="ru-RU" w:eastAsia="ru-RU"/>
        </w:rPr>
      </w:pPr>
    </w:p>
    <w:tbl>
      <w:tblPr>
        <w:tblW w:w="16095" w:type="dxa"/>
        <w:tblBorders>
          <w:top w:val="single" w:sz="6" w:space="0" w:color="2C5085"/>
          <w:left w:val="single" w:sz="6" w:space="0" w:color="2C5085"/>
          <w:bottom w:val="single" w:sz="6" w:space="0" w:color="2C5085"/>
          <w:right w:val="single" w:sz="6" w:space="0" w:color="2C508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8"/>
        <w:gridCol w:w="13397"/>
      </w:tblGrid>
      <w:tr w:rsidR="004E2E48" w:rsidRPr="004E2E48" w:rsidTr="004E2E48">
        <w:tc>
          <w:tcPr>
            <w:tcW w:w="0" w:type="auto"/>
            <w:gridSpan w:val="2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2C5085"/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center"/>
              <w:rPr>
                <w:rFonts w:ascii="Verdana" w:eastAsia="Times New Roman" w:hAnsi="Verdana"/>
                <w:b/>
                <w:bCs/>
                <w:color w:val="D9D9D9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b/>
                <w:bCs/>
                <w:color w:val="D9D9D9"/>
                <w:kern w:val="0"/>
                <w:sz w:val="17"/>
                <w:szCs w:val="17"/>
                <w:lang w:val="ru-RU" w:eastAsia="ru-RU"/>
              </w:rPr>
              <w:t>Общие характеристики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Дисплей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Монохромный ЖКИ (320 </w:t>
            </w:r>
            <w:proofErr w:type="spell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х</w:t>
            </w:r>
            <w:proofErr w:type="spell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240), диагональ 3,8" (9,6 см) с LED подсветкой и регулировкой контрастности.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Интерфейс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USB</w:t>
            </w:r>
          </w:p>
        </w:tc>
      </w:tr>
      <w:tr w:rsidR="004E2E48" w:rsidRPr="004E2E48" w:rsidTr="004E2E48">
        <w:tc>
          <w:tcPr>
            <w:tcW w:w="0" w:type="auto"/>
            <w:vMerge w:val="restart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proofErr w:type="spell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Ni-Mh</w:t>
            </w:r>
            <w:proofErr w:type="spell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батарея 1600 </w:t>
            </w:r>
            <w:proofErr w:type="spell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мА●ч</w:t>
            </w:r>
            <w:proofErr w:type="spell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(время работы 5-6 часов)</w:t>
            </w:r>
          </w:p>
        </w:tc>
      </w:tr>
      <w:tr w:rsidR="004E2E48" w:rsidRPr="004E2E48" w:rsidTr="004E2E48">
        <w:tc>
          <w:tcPr>
            <w:tcW w:w="0" w:type="auto"/>
            <w:vMerge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зарядное устройство 110-250</w:t>
            </w:r>
            <w:proofErr w:type="gram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В</w:t>
            </w:r>
            <w:proofErr w:type="gram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, 50 Гц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Рабочая температура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0 …40</w:t>
            </w:r>
            <w:proofErr w:type="gram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°С</w:t>
            </w:r>
            <w:proofErr w:type="gramEnd"/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Габаритные размеры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200 </w:t>
            </w:r>
            <w:proofErr w:type="spell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х</w:t>
            </w:r>
            <w:proofErr w:type="spell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135 </w:t>
            </w:r>
            <w:proofErr w:type="spellStart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х</w:t>
            </w:r>
            <w:proofErr w:type="spellEnd"/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 xml:space="preserve"> 52 мм</w:t>
            </w:r>
          </w:p>
        </w:tc>
      </w:tr>
      <w:tr w:rsidR="004E2E48" w:rsidRPr="004E2E48" w:rsidTr="004E2E48"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2C5085"/>
              <w:left w:val="single" w:sz="6" w:space="0" w:color="2C5085"/>
              <w:bottom w:val="single" w:sz="6" w:space="0" w:color="2C5085"/>
              <w:right w:val="single" w:sz="6" w:space="0" w:color="2C508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E48" w:rsidRPr="004E2E48" w:rsidRDefault="004E2E48" w:rsidP="004E2E48">
            <w:pPr>
              <w:widowControl/>
              <w:ind w:left="0" w:firstLine="0"/>
              <w:jc w:val="left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</w:pPr>
            <w:r w:rsidRPr="004E2E48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val="ru-RU" w:eastAsia="ru-RU"/>
              </w:rPr>
              <w:t>980 г.</w:t>
            </w:r>
          </w:p>
        </w:tc>
      </w:tr>
    </w:tbl>
    <w:p w:rsidR="004E2E48" w:rsidRPr="004E2E48" w:rsidRDefault="004E2E48">
      <w:pPr>
        <w:rPr>
          <w:lang w:val="ru-RU"/>
        </w:rPr>
      </w:pPr>
    </w:p>
    <w:sectPr w:rsidR="004E2E48" w:rsidRPr="004E2E48" w:rsidSect="004E2E48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A"/>
    <w:multiLevelType w:val="multilevel"/>
    <w:tmpl w:val="0000009A"/>
    <w:lvl w:ilvl="0">
      <w:start w:val="1"/>
      <w:numFmt w:val="decimal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CD69E6"/>
    <w:rsid w:val="00012D7D"/>
    <w:rsid w:val="004E2E48"/>
    <w:rsid w:val="005C0915"/>
    <w:rsid w:val="00AB4CBD"/>
    <w:rsid w:val="00CD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BD"/>
    <w:pPr>
      <w:widowControl w:val="0"/>
      <w:ind w:left="420" w:hanging="420"/>
      <w:jc w:val="both"/>
    </w:pPr>
    <w:rPr>
      <w:rFonts w:ascii="Times New Roman" w:eastAsia="SimSun" w:hAnsi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AB4CBD"/>
    <w:pPr>
      <w:keepNext/>
      <w:keepLines/>
      <w:numPr>
        <w:numId w:val="1"/>
      </w:numPr>
      <w:outlineLvl w:val="0"/>
    </w:pPr>
    <w:rPr>
      <w:rFonts w:ascii="Tahoma" w:eastAsia="SimHei" w:hAnsi="Tahoma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CBD"/>
    <w:rPr>
      <w:rFonts w:ascii="Tahoma" w:eastAsia="SimHei" w:hAnsi="Tahoma" w:cs="Times New Roman"/>
      <w:b/>
      <w:bCs/>
      <w:kern w:val="44"/>
      <w:sz w:val="36"/>
      <w:szCs w:val="44"/>
      <w:lang w:val="en-US"/>
    </w:rPr>
  </w:style>
  <w:style w:type="character" w:customStyle="1" w:styleId="apple-converted-space">
    <w:name w:val="apple-converted-space"/>
    <w:basedOn w:val="a0"/>
    <w:rsid w:val="004E2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2013-10-14T10:25:00Z</dcterms:created>
  <dcterms:modified xsi:type="dcterms:W3CDTF">2013-10-14T12:02:00Z</dcterms:modified>
</cp:coreProperties>
</file>